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AF0D71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AF0D71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AF0D7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AF0D7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AF0D7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AF0D7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AF0D7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726EC46F" w:rsidR="00153799" w:rsidRPr="00BD30FE" w:rsidRDefault="00545F48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45F4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松山市第3期SDGｓ未来都市計画（案）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02E22"/>
    <w:rsid w:val="00133876"/>
    <w:rsid w:val="001360F4"/>
    <w:rsid w:val="00140648"/>
    <w:rsid w:val="00153799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45F48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7F65DA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204C"/>
    <w:rsid w:val="00AC5A24"/>
    <w:rsid w:val="00AF0D71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3463C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/>
  <cp:keywords/>
  <cp:lastModifiedBy>企画戦略課</cp:lastModifiedBy>
  <cp:revision>19</cp:revision>
  <cp:lastPrinted>2016-03-03T07:14:00Z</cp:lastPrinted>
  <dcterms:created xsi:type="dcterms:W3CDTF">2024-05-30T05:39:00Z</dcterms:created>
  <dcterms:modified xsi:type="dcterms:W3CDTF">2025-11-25T02:24:00Z</dcterms:modified>
</cp:coreProperties>
</file>